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4AC" w:rsidRPr="00A07B28" w:rsidRDefault="007554AC" w:rsidP="007554AC">
      <w:pPr>
        <w:shd w:val="clear" w:color="auto" w:fill="B6DDE8" w:themeFill="accent5" w:themeFillTint="66"/>
        <w:autoSpaceDE w:val="0"/>
        <w:autoSpaceDN w:val="0"/>
        <w:adjustRightInd w:val="0"/>
        <w:ind w:firstLine="567"/>
        <w:jc w:val="both"/>
        <w:rPr>
          <w:rFonts w:asciiTheme="minorHAnsi" w:hAnsiTheme="minorHAnsi"/>
          <w:b/>
        </w:rPr>
      </w:pPr>
      <w:r w:rsidRPr="00A07B28">
        <w:rPr>
          <w:rFonts w:asciiTheme="minorHAnsi" w:eastAsia="Calibri" w:hAnsiTheme="minorHAnsi"/>
          <w:b/>
        </w:rPr>
        <w:t>Приложение 7: Обобщен анализ на организационните схеми за управление на отпадъците, планиране, финансиране и определяне на цени и такси за услугите</w:t>
      </w:r>
    </w:p>
    <w:p w:rsidR="00A07B28" w:rsidRPr="00A07B28" w:rsidRDefault="00A07B28" w:rsidP="00A07B28">
      <w:pPr>
        <w:spacing w:after="0"/>
        <w:ind w:firstLine="708"/>
        <w:jc w:val="both"/>
        <w:rPr>
          <w:rFonts w:asciiTheme="minorHAnsi" w:hAnsiTheme="minorHAnsi"/>
        </w:rPr>
      </w:pPr>
      <w:r w:rsidRPr="00A07B28">
        <w:rPr>
          <w:rFonts w:asciiTheme="minorHAnsi" w:hAnsiTheme="minorHAnsi"/>
        </w:rPr>
        <w:t xml:space="preserve">Възприетият подход за финансиране на дейностите по управление на отпадъците се основава на принципа „замърсителят плаща”, който се въвежда с такса „Битови отпадъци” за населението, на основание чл. 62 и чл. 63 от Закона за местните данъци и такси (ЗМДТ). Общинският съвет определя размера на такса „Битови отпадъци” за дейностите, предвидени със ЗМДТ. Общинският съвет приема наредба за определянето и администрирането на местните такси и цени на услуги, в т.ч. и таксата „Битови отпадъци”. </w:t>
      </w:r>
    </w:p>
    <w:p w:rsidR="00A07B28" w:rsidRPr="00570FD1" w:rsidRDefault="00A07B28" w:rsidP="00A07B28">
      <w:pPr>
        <w:pStyle w:val="aa"/>
        <w:spacing w:line="276" w:lineRule="auto"/>
        <w:ind w:firstLine="708"/>
        <w:jc w:val="both"/>
        <w:rPr>
          <w:rFonts w:asciiTheme="minorHAnsi" w:hAnsiTheme="minorHAnsi"/>
          <w:sz w:val="22"/>
          <w:szCs w:val="22"/>
          <w:lang w:eastAsia="bg-BG"/>
        </w:rPr>
      </w:pPr>
      <w:r w:rsidRPr="00A07B28">
        <w:rPr>
          <w:rFonts w:asciiTheme="minorHAnsi" w:hAnsiTheme="minorHAnsi"/>
          <w:bCs/>
          <w:sz w:val="22"/>
          <w:szCs w:val="22"/>
        </w:rPr>
        <w:t xml:space="preserve">При вземането на решение за определяне размера на такса „Битови отпадъци” </w:t>
      </w:r>
      <w:r w:rsidRPr="00570FD1">
        <w:rPr>
          <w:rFonts w:asciiTheme="minorHAnsi" w:hAnsiTheme="minorHAnsi"/>
          <w:bCs/>
          <w:sz w:val="22"/>
          <w:szCs w:val="22"/>
        </w:rPr>
        <w:t xml:space="preserve">ръководството на Общинска администрация </w:t>
      </w:r>
      <w:r w:rsidRPr="00570FD1">
        <w:rPr>
          <w:rFonts w:asciiTheme="minorHAnsi" w:hAnsiTheme="minorHAnsi"/>
          <w:sz w:val="22"/>
          <w:szCs w:val="22"/>
          <w:lang w:eastAsia="en-GB"/>
        </w:rPr>
        <w:t xml:space="preserve">РИЛА </w:t>
      </w:r>
      <w:r w:rsidRPr="00570FD1">
        <w:rPr>
          <w:rFonts w:asciiTheme="minorHAnsi" w:hAnsiTheme="minorHAnsi"/>
          <w:bCs/>
          <w:sz w:val="22"/>
          <w:szCs w:val="22"/>
        </w:rPr>
        <w:t xml:space="preserve">и Общински съвет </w:t>
      </w:r>
      <w:proofErr w:type="spellStart"/>
      <w:r w:rsidRPr="00570FD1">
        <w:rPr>
          <w:rFonts w:asciiTheme="minorHAnsi" w:hAnsiTheme="minorHAnsi"/>
          <w:sz w:val="22"/>
          <w:szCs w:val="22"/>
          <w:lang w:eastAsia="en-GB"/>
        </w:rPr>
        <w:t>РИЛА</w:t>
      </w:r>
      <w:r w:rsidRPr="00570FD1">
        <w:rPr>
          <w:rFonts w:asciiTheme="minorHAnsi" w:hAnsiTheme="minorHAnsi"/>
          <w:bCs/>
          <w:sz w:val="22"/>
          <w:szCs w:val="22"/>
        </w:rPr>
        <w:t>се</w:t>
      </w:r>
      <w:proofErr w:type="spellEnd"/>
      <w:r w:rsidRPr="00570FD1">
        <w:rPr>
          <w:rFonts w:asciiTheme="minorHAnsi" w:hAnsiTheme="minorHAnsi"/>
          <w:bCs/>
          <w:sz w:val="22"/>
          <w:szCs w:val="22"/>
        </w:rPr>
        <w:t xml:space="preserve"> съобразяват и със социалната </w:t>
      </w:r>
      <w:proofErr w:type="spellStart"/>
      <w:r w:rsidRPr="00570FD1">
        <w:rPr>
          <w:rFonts w:asciiTheme="minorHAnsi" w:hAnsiTheme="minorHAnsi"/>
          <w:bCs/>
          <w:sz w:val="22"/>
          <w:szCs w:val="22"/>
        </w:rPr>
        <w:t>поносимост</w:t>
      </w:r>
      <w:proofErr w:type="spellEnd"/>
      <w:r w:rsidRPr="00570FD1">
        <w:rPr>
          <w:rFonts w:asciiTheme="minorHAnsi" w:hAnsiTheme="minorHAnsi"/>
          <w:bCs/>
          <w:sz w:val="22"/>
          <w:szCs w:val="22"/>
        </w:rPr>
        <w:t xml:space="preserve"> на предлаганата услуга. </w:t>
      </w:r>
      <w:r w:rsidRPr="00570FD1">
        <w:rPr>
          <w:rFonts w:asciiTheme="minorHAnsi" w:hAnsiTheme="minorHAnsi"/>
          <w:sz w:val="22"/>
          <w:szCs w:val="22"/>
        </w:rPr>
        <w:t xml:space="preserve">Отчитайки конкретните условия на </w:t>
      </w:r>
      <w:r w:rsidRPr="00570FD1">
        <w:rPr>
          <w:rFonts w:asciiTheme="minorHAnsi" w:hAnsiTheme="minorHAnsi"/>
          <w:sz w:val="22"/>
          <w:szCs w:val="22"/>
          <w:lang w:eastAsia="bg-BG"/>
        </w:rPr>
        <w:t xml:space="preserve">Община </w:t>
      </w:r>
      <w:r w:rsidRPr="00570FD1">
        <w:rPr>
          <w:rFonts w:asciiTheme="minorHAnsi" w:hAnsiTheme="minorHAnsi"/>
          <w:sz w:val="22"/>
          <w:szCs w:val="22"/>
          <w:lang w:eastAsia="en-GB"/>
        </w:rPr>
        <w:t>РИЛА</w:t>
      </w:r>
      <w:r w:rsidRPr="00570FD1">
        <w:rPr>
          <w:rFonts w:asciiTheme="minorHAnsi" w:hAnsiTheme="minorHAnsi"/>
          <w:sz w:val="22"/>
          <w:szCs w:val="22"/>
          <w:lang w:eastAsia="bg-BG"/>
        </w:rPr>
        <w:t xml:space="preserve">, постъпващите средства при правилно и целенасочено управление на отпадъците могат да осигурят една нормална организация за задоволяване нуждите на населението от качествени комунално-битови услуги. </w:t>
      </w:r>
    </w:p>
    <w:p w:rsidR="00A07B28" w:rsidRPr="00570FD1" w:rsidRDefault="00A07B28" w:rsidP="00A07B28">
      <w:pPr>
        <w:tabs>
          <w:tab w:val="left" w:pos="709"/>
        </w:tabs>
        <w:spacing w:after="0"/>
        <w:ind w:firstLine="708"/>
        <w:jc w:val="both"/>
        <w:rPr>
          <w:rFonts w:asciiTheme="minorHAnsi" w:hAnsiTheme="minorHAnsi"/>
        </w:rPr>
      </w:pPr>
      <w:r w:rsidRPr="00570FD1">
        <w:rPr>
          <w:rFonts w:asciiTheme="minorHAnsi" w:hAnsiTheme="minorHAnsi"/>
        </w:rPr>
        <w:tab/>
        <w:t xml:space="preserve">Практиката показва, че заплащането на такса „Битови отпадъци”  далеч не стимулира населението да участва в системите за разделно събиране на </w:t>
      </w:r>
      <w:proofErr w:type="spellStart"/>
      <w:r w:rsidRPr="00570FD1">
        <w:rPr>
          <w:rFonts w:asciiTheme="minorHAnsi" w:hAnsiTheme="minorHAnsi"/>
        </w:rPr>
        <w:t>рециклируемите</w:t>
      </w:r>
      <w:proofErr w:type="spellEnd"/>
      <w:r w:rsidRPr="00570FD1">
        <w:rPr>
          <w:rFonts w:asciiTheme="minorHAnsi" w:hAnsiTheme="minorHAnsi"/>
        </w:rPr>
        <w:t xml:space="preserve"> отпадъци, както и не води до пълно финансово покритие на нуждите и разходите за управление на битовите отпадъци. Това обуславя значителния финансов ресурс, който е непосилен за общинския бюджет, не се осигурява от такса „Битови отпадъци” и за изпълнението на част от дейностите по управление на отпадъците Общината търси алтернативни решения за финансиране от други финансови организации – ПУДООС, Оперативните програми и др. външни донорски програми.</w:t>
      </w:r>
    </w:p>
    <w:p w:rsidR="00A07B28" w:rsidRPr="00570FD1" w:rsidRDefault="00A07B28" w:rsidP="00A07B28">
      <w:pPr>
        <w:pStyle w:val="a8"/>
        <w:ind w:left="0" w:firstLine="706"/>
        <w:rPr>
          <w:rFonts w:asciiTheme="minorHAnsi" w:hAnsiTheme="minorHAnsi"/>
        </w:rPr>
      </w:pPr>
      <w:r w:rsidRPr="00570FD1">
        <w:rPr>
          <w:rFonts w:asciiTheme="minorHAnsi" w:hAnsiTheme="minorHAnsi"/>
        </w:rPr>
        <w:t>Таксата за битови отпадъци</w:t>
      </w:r>
      <w:r w:rsidRPr="00570FD1">
        <w:rPr>
          <w:rFonts w:asciiTheme="minorHAnsi" w:hAnsiTheme="minorHAnsi"/>
          <w:b/>
        </w:rPr>
        <w:t xml:space="preserve"> </w:t>
      </w:r>
      <w:r w:rsidRPr="00570FD1">
        <w:rPr>
          <w:rFonts w:asciiTheme="minorHAnsi" w:hAnsiTheme="minorHAnsi"/>
        </w:rPr>
        <w:t xml:space="preserve">се определя като промил върху данъчната оценка на недвижимите имоти на физическите лица и промил върху по-високата стойност между данъчната оценка и отчетната стойност на недвижимите имоти на юридическите лица по смисъла на чл.21 от ЗМДТ. </w:t>
      </w:r>
    </w:p>
    <w:p w:rsidR="00A07B28" w:rsidRPr="00A07B28" w:rsidRDefault="00A07B28" w:rsidP="00A07B28">
      <w:pPr>
        <w:spacing w:after="0"/>
        <w:jc w:val="center"/>
        <w:rPr>
          <w:rFonts w:asciiTheme="minorHAnsi" w:hAnsiTheme="minorHAnsi"/>
          <w:b/>
        </w:rPr>
      </w:pPr>
      <w:r w:rsidRPr="00570FD1">
        <w:rPr>
          <w:rFonts w:asciiTheme="minorHAnsi" w:hAnsiTheme="minorHAnsi"/>
          <w:b/>
        </w:rPr>
        <w:t>Таблица 7.1: Приходи от такса-битови отпадъци в община РИЛА(хил. лева)</w:t>
      </w:r>
    </w:p>
    <w:tbl>
      <w:tblPr>
        <w:tblW w:w="7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7"/>
        <w:gridCol w:w="1084"/>
        <w:gridCol w:w="1084"/>
        <w:gridCol w:w="1084"/>
        <w:gridCol w:w="1084"/>
      </w:tblGrid>
      <w:tr w:rsidR="00A07B28" w:rsidRPr="00A07B28" w:rsidTr="00396E9B">
        <w:trPr>
          <w:trHeight w:val="368"/>
          <w:tblHeader/>
          <w:jc w:val="center"/>
        </w:trPr>
        <w:tc>
          <w:tcPr>
            <w:tcW w:w="3477" w:type="dxa"/>
            <w:shd w:val="clear" w:color="auto" w:fill="CCECFF"/>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Години</w:t>
            </w:r>
          </w:p>
        </w:tc>
        <w:tc>
          <w:tcPr>
            <w:tcW w:w="1084" w:type="dxa"/>
            <w:shd w:val="clear" w:color="auto" w:fill="CCECFF"/>
            <w:noWrap/>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2016</w:t>
            </w:r>
          </w:p>
        </w:tc>
        <w:tc>
          <w:tcPr>
            <w:tcW w:w="1084" w:type="dxa"/>
            <w:shd w:val="clear" w:color="auto" w:fill="CCECFF"/>
            <w:noWrap/>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2017</w:t>
            </w:r>
          </w:p>
        </w:tc>
        <w:tc>
          <w:tcPr>
            <w:tcW w:w="1084" w:type="dxa"/>
            <w:shd w:val="clear" w:color="auto" w:fill="CCECFF"/>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2018</w:t>
            </w:r>
          </w:p>
        </w:tc>
        <w:tc>
          <w:tcPr>
            <w:tcW w:w="1084" w:type="dxa"/>
            <w:shd w:val="clear" w:color="auto" w:fill="CCECFF"/>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2019</w:t>
            </w:r>
          </w:p>
        </w:tc>
      </w:tr>
      <w:tr w:rsidR="00A07B28" w:rsidRPr="00A07B28" w:rsidTr="00396E9B">
        <w:trPr>
          <w:trHeight w:val="531"/>
          <w:jc w:val="center"/>
        </w:trPr>
        <w:tc>
          <w:tcPr>
            <w:tcW w:w="3477" w:type="dxa"/>
            <w:shd w:val="clear" w:color="auto" w:fill="F2F2F2"/>
            <w:vAlign w:val="center"/>
          </w:tcPr>
          <w:p w:rsidR="00A07B28" w:rsidRPr="00A07B28" w:rsidRDefault="00A07B28" w:rsidP="00396E9B">
            <w:pPr>
              <w:spacing w:after="0"/>
              <w:rPr>
                <w:rFonts w:asciiTheme="minorHAnsi" w:hAnsiTheme="minorHAnsi"/>
                <w:b/>
                <w:bCs/>
                <w:color w:val="000000"/>
              </w:rPr>
            </w:pPr>
            <w:r w:rsidRPr="00A07B28">
              <w:rPr>
                <w:rFonts w:asciiTheme="minorHAnsi" w:hAnsiTheme="minorHAnsi"/>
                <w:b/>
                <w:bCs/>
                <w:color w:val="000000"/>
              </w:rPr>
              <w:t>Общо приходи от такса битови отпадъци (лева), в т.ч. от:</w:t>
            </w:r>
          </w:p>
        </w:tc>
        <w:tc>
          <w:tcPr>
            <w:tcW w:w="1084" w:type="dxa"/>
            <w:shd w:val="clear" w:color="auto" w:fill="F2F2F2"/>
            <w:noWrap/>
            <w:vAlign w:val="center"/>
          </w:tcPr>
          <w:p w:rsidR="00A07B28" w:rsidRPr="00A07B28" w:rsidRDefault="00A07B28" w:rsidP="00396E9B">
            <w:pPr>
              <w:jc w:val="center"/>
              <w:rPr>
                <w:rFonts w:asciiTheme="minorHAnsi" w:hAnsiTheme="minorHAnsi"/>
                <w:b/>
                <w:color w:val="000000"/>
              </w:rPr>
            </w:pPr>
            <w:r w:rsidRPr="00A07B28">
              <w:rPr>
                <w:rFonts w:asciiTheme="minorHAnsi" w:hAnsiTheme="minorHAnsi"/>
                <w:b/>
                <w:color w:val="000000"/>
              </w:rPr>
              <w:t>208</w:t>
            </w:r>
          </w:p>
        </w:tc>
        <w:tc>
          <w:tcPr>
            <w:tcW w:w="1084" w:type="dxa"/>
            <w:shd w:val="clear" w:color="auto" w:fill="F2F2F2"/>
            <w:noWrap/>
            <w:vAlign w:val="center"/>
          </w:tcPr>
          <w:p w:rsidR="00A07B28" w:rsidRPr="00A07B28" w:rsidRDefault="00A07B28" w:rsidP="00396E9B">
            <w:pPr>
              <w:jc w:val="center"/>
              <w:rPr>
                <w:rFonts w:asciiTheme="minorHAnsi" w:hAnsiTheme="minorHAnsi"/>
                <w:b/>
                <w:color w:val="000000"/>
              </w:rPr>
            </w:pPr>
            <w:r w:rsidRPr="00A07B28">
              <w:rPr>
                <w:rFonts w:asciiTheme="minorHAnsi" w:hAnsiTheme="minorHAnsi"/>
                <w:b/>
                <w:color w:val="000000"/>
              </w:rPr>
              <w:t>201</w:t>
            </w:r>
          </w:p>
        </w:tc>
        <w:tc>
          <w:tcPr>
            <w:tcW w:w="1084" w:type="dxa"/>
            <w:shd w:val="clear" w:color="auto" w:fill="F2F2F2"/>
            <w:vAlign w:val="center"/>
          </w:tcPr>
          <w:p w:rsidR="00A07B28" w:rsidRPr="00A07B28" w:rsidRDefault="00A07B28" w:rsidP="00396E9B">
            <w:pPr>
              <w:jc w:val="center"/>
              <w:rPr>
                <w:rFonts w:asciiTheme="minorHAnsi" w:hAnsiTheme="minorHAnsi"/>
                <w:b/>
                <w:color w:val="000000"/>
              </w:rPr>
            </w:pPr>
            <w:r w:rsidRPr="00A07B28">
              <w:rPr>
                <w:rFonts w:asciiTheme="minorHAnsi" w:hAnsiTheme="minorHAnsi"/>
                <w:b/>
                <w:color w:val="000000"/>
              </w:rPr>
              <w:t>Липсват данни</w:t>
            </w:r>
          </w:p>
        </w:tc>
        <w:tc>
          <w:tcPr>
            <w:tcW w:w="1084" w:type="dxa"/>
            <w:shd w:val="clear" w:color="auto" w:fill="F2F2F2"/>
            <w:vAlign w:val="center"/>
          </w:tcPr>
          <w:p w:rsidR="00A07B28" w:rsidRPr="00A07B28" w:rsidRDefault="00A07B28" w:rsidP="00396E9B">
            <w:pPr>
              <w:jc w:val="center"/>
              <w:rPr>
                <w:rFonts w:asciiTheme="minorHAnsi" w:hAnsiTheme="minorHAnsi"/>
                <w:b/>
                <w:color w:val="000000"/>
              </w:rPr>
            </w:pPr>
            <w:r w:rsidRPr="00A07B28">
              <w:rPr>
                <w:rFonts w:asciiTheme="minorHAnsi" w:hAnsiTheme="minorHAnsi"/>
                <w:b/>
                <w:color w:val="000000"/>
              </w:rPr>
              <w:t>374</w:t>
            </w:r>
          </w:p>
        </w:tc>
      </w:tr>
      <w:tr w:rsidR="00A07B28" w:rsidRPr="00A07B28" w:rsidTr="00396E9B">
        <w:trPr>
          <w:trHeight w:val="387"/>
          <w:jc w:val="center"/>
        </w:trPr>
        <w:tc>
          <w:tcPr>
            <w:tcW w:w="3477" w:type="dxa"/>
            <w:shd w:val="clear" w:color="auto" w:fill="FFFFFF"/>
            <w:vAlign w:val="center"/>
          </w:tcPr>
          <w:p w:rsidR="00A07B28" w:rsidRPr="00A07B28" w:rsidRDefault="00A07B28" w:rsidP="00396E9B">
            <w:pPr>
              <w:spacing w:after="0"/>
              <w:rPr>
                <w:rFonts w:asciiTheme="minorHAnsi" w:hAnsiTheme="minorHAnsi"/>
                <w:color w:val="000000"/>
              </w:rPr>
            </w:pPr>
            <w:r w:rsidRPr="00A07B28">
              <w:rPr>
                <w:rFonts w:asciiTheme="minorHAnsi" w:hAnsiTheme="minorHAnsi"/>
                <w:color w:val="000000"/>
              </w:rPr>
              <w:t>Физически лица</w:t>
            </w:r>
          </w:p>
        </w:tc>
        <w:tc>
          <w:tcPr>
            <w:tcW w:w="1084" w:type="dxa"/>
            <w:shd w:val="clear" w:color="auto" w:fill="auto"/>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157</w:t>
            </w:r>
          </w:p>
        </w:tc>
        <w:tc>
          <w:tcPr>
            <w:tcW w:w="1084" w:type="dxa"/>
            <w:shd w:val="clear" w:color="auto" w:fill="auto"/>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151</w:t>
            </w:r>
          </w:p>
        </w:tc>
        <w:tc>
          <w:tcPr>
            <w:tcW w:w="1084" w:type="dxa"/>
          </w:tcPr>
          <w:p w:rsidR="00A07B28" w:rsidRPr="00A07B28" w:rsidRDefault="00A07B28" w:rsidP="00396E9B">
            <w:pPr>
              <w:jc w:val="center"/>
              <w:rPr>
                <w:rFonts w:asciiTheme="minorHAnsi" w:hAnsiTheme="minorHAnsi"/>
              </w:rPr>
            </w:pPr>
            <w:r w:rsidRPr="00A07B28">
              <w:rPr>
                <w:rFonts w:asciiTheme="minorHAnsi" w:hAnsiTheme="minorHAnsi"/>
                <w:color w:val="000000"/>
              </w:rPr>
              <w:t>Липсват данни</w:t>
            </w:r>
          </w:p>
        </w:tc>
        <w:tc>
          <w:tcPr>
            <w:tcW w:w="1084"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269</w:t>
            </w:r>
          </w:p>
        </w:tc>
      </w:tr>
      <w:tr w:rsidR="00A07B28" w:rsidRPr="00A07B28" w:rsidTr="00396E9B">
        <w:trPr>
          <w:trHeight w:val="387"/>
          <w:jc w:val="center"/>
        </w:trPr>
        <w:tc>
          <w:tcPr>
            <w:tcW w:w="3477" w:type="dxa"/>
            <w:shd w:val="clear" w:color="auto" w:fill="FFFFFF"/>
            <w:vAlign w:val="center"/>
          </w:tcPr>
          <w:p w:rsidR="00A07B28" w:rsidRPr="00A07B28" w:rsidRDefault="00A07B28" w:rsidP="00396E9B">
            <w:pPr>
              <w:spacing w:after="0"/>
              <w:rPr>
                <w:rFonts w:asciiTheme="minorHAnsi" w:hAnsiTheme="minorHAnsi"/>
                <w:color w:val="000000"/>
              </w:rPr>
            </w:pPr>
            <w:r w:rsidRPr="00A07B28">
              <w:rPr>
                <w:rFonts w:asciiTheme="minorHAnsi" w:hAnsiTheme="minorHAnsi"/>
                <w:color w:val="000000"/>
              </w:rPr>
              <w:t>Юридически лица</w:t>
            </w:r>
          </w:p>
        </w:tc>
        <w:tc>
          <w:tcPr>
            <w:tcW w:w="1084" w:type="dxa"/>
            <w:shd w:val="clear" w:color="auto" w:fill="auto"/>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51</w:t>
            </w:r>
          </w:p>
        </w:tc>
        <w:tc>
          <w:tcPr>
            <w:tcW w:w="1084" w:type="dxa"/>
            <w:shd w:val="clear" w:color="auto" w:fill="auto"/>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50</w:t>
            </w:r>
          </w:p>
        </w:tc>
        <w:tc>
          <w:tcPr>
            <w:tcW w:w="1084" w:type="dxa"/>
          </w:tcPr>
          <w:p w:rsidR="00A07B28" w:rsidRPr="00A07B28" w:rsidRDefault="00A07B28" w:rsidP="00396E9B">
            <w:pPr>
              <w:jc w:val="center"/>
              <w:rPr>
                <w:rFonts w:asciiTheme="minorHAnsi" w:hAnsiTheme="minorHAnsi"/>
              </w:rPr>
            </w:pPr>
            <w:r w:rsidRPr="00A07B28">
              <w:rPr>
                <w:rFonts w:asciiTheme="minorHAnsi" w:hAnsiTheme="minorHAnsi"/>
                <w:color w:val="000000"/>
              </w:rPr>
              <w:t>Липсват данни</w:t>
            </w:r>
          </w:p>
        </w:tc>
        <w:tc>
          <w:tcPr>
            <w:tcW w:w="1084"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105</w:t>
            </w:r>
          </w:p>
        </w:tc>
      </w:tr>
    </w:tbl>
    <w:p w:rsidR="00A07B28" w:rsidRPr="00570FD1" w:rsidRDefault="00A07B28" w:rsidP="00A07B28">
      <w:pPr>
        <w:pStyle w:val="a6"/>
        <w:spacing w:line="276" w:lineRule="auto"/>
        <w:ind w:firstLine="720"/>
        <w:jc w:val="center"/>
        <w:rPr>
          <w:rFonts w:asciiTheme="minorHAnsi" w:hAnsiTheme="minorHAnsi"/>
          <w:b w:val="0"/>
          <w:color w:val="000000"/>
          <w:sz w:val="22"/>
          <w:szCs w:val="22"/>
        </w:rPr>
      </w:pPr>
      <w:r w:rsidRPr="00570FD1">
        <w:rPr>
          <w:rFonts w:asciiTheme="minorHAnsi" w:hAnsiTheme="minorHAnsi"/>
          <w:b w:val="0"/>
          <w:bCs w:val="0"/>
          <w:i/>
          <w:sz w:val="22"/>
          <w:szCs w:val="22"/>
        </w:rPr>
        <w:t>Източник: Община РИЛА</w:t>
      </w:r>
    </w:p>
    <w:p w:rsidR="00A07B28" w:rsidRPr="00570FD1" w:rsidRDefault="00A07B28" w:rsidP="00A07B28">
      <w:pPr>
        <w:spacing w:after="0"/>
        <w:ind w:firstLine="706"/>
        <w:jc w:val="both"/>
        <w:rPr>
          <w:rFonts w:asciiTheme="minorHAnsi" w:hAnsiTheme="minorHAnsi"/>
        </w:rPr>
      </w:pPr>
      <w:r w:rsidRPr="00570FD1">
        <w:rPr>
          <w:rFonts w:asciiTheme="minorHAnsi" w:hAnsiTheme="minorHAnsi"/>
        </w:rPr>
        <w:t>През последните години приходите от такса „Битови отпадъци“ в Община РИЛА нарастват с 79,80 % от 208 хил. лева през 2016 г. на 374 хил. лева през 2019 г. Увеличението на приходите е преди всичко от таксите на физическите лица (269 хил. лева през 2019 г.).</w:t>
      </w:r>
    </w:p>
    <w:p w:rsidR="00A07B28" w:rsidRPr="00570FD1" w:rsidRDefault="00A07B28" w:rsidP="00A07B28">
      <w:pPr>
        <w:spacing w:after="0"/>
        <w:ind w:firstLine="706"/>
        <w:jc w:val="both"/>
        <w:rPr>
          <w:rFonts w:asciiTheme="minorHAnsi" w:hAnsiTheme="minorHAnsi"/>
        </w:rPr>
      </w:pPr>
    </w:p>
    <w:p w:rsidR="00A07B28" w:rsidRPr="00570FD1" w:rsidRDefault="00A07B28" w:rsidP="00A07B28">
      <w:pPr>
        <w:spacing w:after="0"/>
        <w:ind w:firstLine="706"/>
        <w:jc w:val="both"/>
        <w:rPr>
          <w:rFonts w:asciiTheme="minorHAnsi" w:hAnsiTheme="minorHAnsi"/>
        </w:rPr>
      </w:pPr>
    </w:p>
    <w:p w:rsidR="00A07B28" w:rsidRPr="00570FD1" w:rsidRDefault="00A07B28" w:rsidP="00A07B28">
      <w:pPr>
        <w:spacing w:after="0"/>
        <w:ind w:firstLine="706"/>
        <w:jc w:val="both"/>
        <w:rPr>
          <w:rFonts w:asciiTheme="minorHAnsi" w:hAnsiTheme="minorHAnsi"/>
        </w:rPr>
      </w:pPr>
    </w:p>
    <w:p w:rsidR="00A07B28" w:rsidRPr="00570FD1" w:rsidRDefault="00A07B28" w:rsidP="00A07B28">
      <w:pPr>
        <w:spacing w:after="0"/>
        <w:ind w:firstLine="706"/>
        <w:jc w:val="both"/>
        <w:rPr>
          <w:rFonts w:asciiTheme="minorHAnsi" w:hAnsiTheme="minorHAnsi"/>
        </w:rPr>
      </w:pPr>
    </w:p>
    <w:p w:rsidR="00A07B28" w:rsidRPr="00570FD1" w:rsidRDefault="00A07B28" w:rsidP="00A07B28">
      <w:pPr>
        <w:spacing w:after="0"/>
        <w:ind w:firstLine="706"/>
        <w:jc w:val="both"/>
        <w:rPr>
          <w:rFonts w:asciiTheme="minorHAnsi" w:hAnsiTheme="minorHAnsi"/>
        </w:rPr>
      </w:pPr>
    </w:p>
    <w:p w:rsidR="00A07B28" w:rsidRPr="00A07B28" w:rsidRDefault="00A07B28" w:rsidP="00A07B28">
      <w:pPr>
        <w:spacing w:after="0"/>
        <w:ind w:left="360"/>
        <w:jc w:val="center"/>
        <w:rPr>
          <w:rFonts w:asciiTheme="minorHAnsi" w:hAnsiTheme="minorHAnsi"/>
          <w:b/>
        </w:rPr>
      </w:pPr>
      <w:r w:rsidRPr="00570FD1">
        <w:rPr>
          <w:rFonts w:asciiTheme="minorHAnsi" w:hAnsiTheme="minorHAnsi"/>
          <w:b/>
        </w:rPr>
        <w:lastRenderedPageBreak/>
        <w:t>Таблица 7.2.: Разходи за управление на отпадъците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1027"/>
        <w:gridCol w:w="1036"/>
        <w:gridCol w:w="989"/>
        <w:gridCol w:w="1036"/>
      </w:tblGrid>
      <w:tr w:rsidR="00A07B28" w:rsidRPr="00A07B28" w:rsidTr="00396E9B">
        <w:trPr>
          <w:trHeight w:val="642"/>
          <w:tblHeader/>
          <w:jc w:val="center"/>
        </w:trPr>
        <w:tc>
          <w:tcPr>
            <w:tcW w:w="3719" w:type="dxa"/>
            <w:shd w:val="clear" w:color="auto" w:fill="CCECFF"/>
            <w:vAlign w:val="center"/>
          </w:tcPr>
          <w:p w:rsidR="00A07B28" w:rsidRPr="00A07B28" w:rsidRDefault="00A07B28" w:rsidP="00396E9B">
            <w:pPr>
              <w:spacing w:after="0"/>
              <w:jc w:val="center"/>
              <w:rPr>
                <w:rFonts w:asciiTheme="minorHAnsi" w:hAnsiTheme="minorHAnsi"/>
              </w:rPr>
            </w:pPr>
            <w:r w:rsidRPr="00A07B28">
              <w:rPr>
                <w:rFonts w:asciiTheme="minorHAnsi" w:hAnsiTheme="minorHAnsi"/>
                <w:b/>
                <w:bCs/>
                <w:color w:val="000000"/>
              </w:rPr>
              <w:t>Години</w:t>
            </w:r>
          </w:p>
        </w:tc>
        <w:tc>
          <w:tcPr>
            <w:tcW w:w="1027" w:type="dxa"/>
            <w:shd w:val="clear" w:color="auto" w:fill="CCECFF"/>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2016</w:t>
            </w:r>
          </w:p>
        </w:tc>
        <w:tc>
          <w:tcPr>
            <w:tcW w:w="1036" w:type="dxa"/>
            <w:shd w:val="clear" w:color="auto" w:fill="CCECFF"/>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2017</w:t>
            </w:r>
          </w:p>
        </w:tc>
        <w:tc>
          <w:tcPr>
            <w:tcW w:w="989" w:type="dxa"/>
            <w:shd w:val="clear" w:color="auto" w:fill="CCECFF"/>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2018</w:t>
            </w:r>
          </w:p>
        </w:tc>
        <w:tc>
          <w:tcPr>
            <w:tcW w:w="1036" w:type="dxa"/>
            <w:shd w:val="clear" w:color="auto" w:fill="CCECFF"/>
            <w:vAlign w:val="center"/>
          </w:tcPr>
          <w:p w:rsidR="00A07B28" w:rsidRPr="00A07B28" w:rsidRDefault="00A07B28" w:rsidP="00396E9B">
            <w:pPr>
              <w:spacing w:after="0"/>
              <w:jc w:val="center"/>
              <w:rPr>
                <w:rFonts w:asciiTheme="minorHAnsi" w:hAnsiTheme="minorHAnsi"/>
                <w:b/>
                <w:bCs/>
                <w:color w:val="000000"/>
              </w:rPr>
            </w:pPr>
            <w:r w:rsidRPr="00A07B28">
              <w:rPr>
                <w:rFonts w:asciiTheme="minorHAnsi" w:hAnsiTheme="minorHAnsi"/>
                <w:b/>
                <w:bCs/>
                <w:color w:val="000000"/>
              </w:rPr>
              <w:t>2019</w:t>
            </w:r>
          </w:p>
        </w:tc>
      </w:tr>
      <w:tr w:rsidR="00A07B28" w:rsidRPr="00A07B28" w:rsidTr="00396E9B">
        <w:trPr>
          <w:trHeight w:val="457"/>
          <w:jc w:val="center"/>
        </w:trPr>
        <w:tc>
          <w:tcPr>
            <w:tcW w:w="3719" w:type="dxa"/>
            <w:shd w:val="clear" w:color="auto" w:fill="F2F2F2"/>
            <w:vAlign w:val="center"/>
          </w:tcPr>
          <w:p w:rsidR="00A07B28" w:rsidRPr="00A07B28" w:rsidRDefault="00A07B28" w:rsidP="00396E9B">
            <w:pPr>
              <w:spacing w:after="0"/>
              <w:rPr>
                <w:rFonts w:asciiTheme="minorHAnsi" w:hAnsiTheme="minorHAnsi"/>
                <w:b/>
              </w:rPr>
            </w:pPr>
            <w:r w:rsidRPr="00A07B28">
              <w:rPr>
                <w:rFonts w:asciiTheme="minorHAnsi" w:hAnsiTheme="minorHAnsi"/>
                <w:b/>
              </w:rPr>
              <w:t>Общо разходи за управление на отпадъците (лева)</w:t>
            </w:r>
          </w:p>
        </w:tc>
        <w:tc>
          <w:tcPr>
            <w:tcW w:w="1027" w:type="dxa"/>
            <w:shd w:val="clear" w:color="auto" w:fill="F2F2F2"/>
            <w:vAlign w:val="center"/>
          </w:tcPr>
          <w:p w:rsidR="00A07B28" w:rsidRPr="00A07B28" w:rsidRDefault="00A07B28" w:rsidP="00396E9B">
            <w:pPr>
              <w:jc w:val="center"/>
              <w:rPr>
                <w:rFonts w:asciiTheme="minorHAnsi" w:hAnsiTheme="minorHAnsi"/>
                <w:b/>
                <w:bCs/>
                <w:color w:val="000000"/>
              </w:rPr>
            </w:pPr>
            <w:r w:rsidRPr="00A07B28">
              <w:rPr>
                <w:rFonts w:asciiTheme="minorHAnsi" w:hAnsiTheme="minorHAnsi"/>
                <w:b/>
                <w:bCs/>
                <w:color w:val="000000"/>
              </w:rPr>
              <w:t>219</w:t>
            </w:r>
          </w:p>
        </w:tc>
        <w:tc>
          <w:tcPr>
            <w:tcW w:w="1036" w:type="dxa"/>
            <w:shd w:val="clear" w:color="auto" w:fill="F2F2F2"/>
            <w:vAlign w:val="center"/>
          </w:tcPr>
          <w:p w:rsidR="00A07B28" w:rsidRPr="00A07B28" w:rsidRDefault="00A07B28" w:rsidP="00396E9B">
            <w:pPr>
              <w:jc w:val="center"/>
              <w:rPr>
                <w:rFonts w:asciiTheme="minorHAnsi" w:hAnsiTheme="minorHAnsi"/>
                <w:b/>
                <w:bCs/>
                <w:color w:val="000000"/>
              </w:rPr>
            </w:pPr>
            <w:r w:rsidRPr="00A07B28">
              <w:rPr>
                <w:rFonts w:asciiTheme="minorHAnsi" w:hAnsiTheme="minorHAnsi"/>
                <w:b/>
                <w:bCs/>
                <w:color w:val="000000"/>
              </w:rPr>
              <w:t>237</w:t>
            </w:r>
          </w:p>
        </w:tc>
        <w:tc>
          <w:tcPr>
            <w:tcW w:w="989" w:type="dxa"/>
            <w:shd w:val="clear" w:color="auto" w:fill="F2F2F2"/>
          </w:tcPr>
          <w:p w:rsidR="00A07B28" w:rsidRPr="00A07B28" w:rsidRDefault="00A07B28" w:rsidP="00396E9B">
            <w:pPr>
              <w:rPr>
                <w:rFonts w:asciiTheme="minorHAnsi" w:hAnsiTheme="minorHAnsi"/>
              </w:rPr>
            </w:pPr>
            <w:r w:rsidRPr="00A07B28">
              <w:rPr>
                <w:rFonts w:asciiTheme="minorHAnsi" w:hAnsiTheme="minorHAnsi"/>
                <w:color w:val="000000"/>
              </w:rPr>
              <w:t>Липсват данни</w:t>
            </w:r>
          </w:p>
        </w:tc>
        <w:tc>
          <w:tcPr>
            <w:tcW w:w="1036" w:type="dxa"/>
            <w:shd w:val="clear" w:color="auto" w:fill="F2F2F2"/>
            <w:vAlign w:val="center"/>
          </w:tcPr>
          <w:p w:rsidR="00A07B28" w:rsidRPr="00A07B28" w:rsidRDefault="00A07B28" w:rsidP="00396E9B">
            <w:pPr>
              <w:jc w:val="center"/>
              <w:rPr>
                <w:rFonts w:asciiTheme="minorHAnsi" w:hAnsiTheme="minorHAnsi"/>
                <w:b/>
                <w:bCs/>
                <w:color w:val="000000"/>
              </w:rPr>
            </w:pPr>
            <w:r w:rsidRPr="00A07B28">
              <w:rPr>
                <w:rFonts w:asciiTheme="minorHAnsi" w:hAnsiTheme="minorHAnsi"/>
                <w:b/>
                <w:bCs/>
                <w:color w:val="000000"/>
              </w:rPr>
              <w:t>409</w:t>
            </w:r>
          </w:p>
        </w:tc>
      </w:tr>
      <w:tr w:rsidR="00A07B28" w:rsidRPr="00A07B28" w:rsidTr="00396E9B">
        <w:trPr>
          <w:trHeight w:val="428"/>
          <w:jc w:val="center"/>
        </w:trPr>
        <w:tc>
          <w:tcPr>
            <w:tcW w:w="3719" w:type="dxa"/>
            <w:vAlign w:val="center"/>
          </w:tcPr>
          <w:p w:rsidR="00A07B28" w:rsidRPr="00A07B28" w:rsidRDefault="00A07B28" w:rsidP="00396E9B">
            <w:pPr>
              <w:spacing w:after="0"/>
              <w:rPr>
                <w:rFonts w:asciiTheme="minorHAnsi" w:hAnsiTheme="minorHAnsi"/>
                <w:color w:val="000000"/>
              </w:rPr>
            </w:pPr>
            <w:r w:rsidRPr="00A07B28">
              <w:rPr>
                <w:rFonts w:asciiTheme="minorHAnsi" w:hAnsiTheme="minorHAnsi"/>
                <w:color w:val="000000"/>
              </w:rPr>
              <w:t xml:space="preserve">Общо разходи за възнаграждения, социални осигуровки и надбавки </w:t>
            </w:r>
          </w:p>
        </w:tc>
        <w:tc>
          <w:tcPr>
            <w:tcW w:w="1027"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149</w:t>
            </w:r>
          </w:p>
        </w:tc>
        <w:tc>
          <w:tcPr>
            <w:tcW w:w="1036"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156</w:t>
            </w:r>
          </w:p>
        </w:tc>
        <w:tc>
          <w:tcPr>
            <w:tcW w:w="989" w:type="dxa"/>
          </w:tcPr>
          <w:p w:rsidR="00A07B28" w:rsidRPr="00A07B28" w:rsidRDefault="00A07B28" w:rsidP="00396E9B">
            <w:pPr>
              <w:rPr>
                <w:rFonts w:asciiTheme="minorHAnsi" w:hAnsiTheme="minorHAnsi"/>
              </w:rPr>
            </w:pPr>
            <w:r w:rsidRPr="00A07B28">
              <w:rPr>
                <w:rFonts w:asciiTheme="minorHAnsi" w:hAnsiTheme="minorHAnsi"/>
                <w:color w:val="000000"/>
              </w:rPr>
              <w:t>Липсват данни</w:t>
            </w:r>
          </w:p>
        </w:tc>
        <w:tc>
          <w:tcPr>
            <w:tcW w:w="1036"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235</w:t>
            </w:r>
          </w:p>
        </w:tc>
      </w:tr>
      <w:tr w:rsidR="00A07B28" w:rsidRPr="00A07B28" w:rsidTr="00396E9B">
        <w:trPr>
          <w:trHeight w:val="707"/>
          <w:jc w:val="center"/>
        </w:trPr>
        <w:tc>
          <w:tcPr>
            <w:tcW w:w="3719" w:type="dxa"/>
            <w:vAlign w:val="center"/>
          </w:tcPr>
          <w:p w:rsidR="00A07B28" w:rsidRPr="00A07B28" w:rsidRDefault="00A07B28" w:rsidP="00396E9B">
            <w:pPr>
              <w:spacing w:after="0"/>
              <w:jc w:val="both"/>
              <w:rPr>
                <w:rFonts w:asciiTheme="minorHAnsi" w:hAnsiTheme="minorHAnsi"/>
                <w:color w:val="000000"/>
              </w:rPr>
            </w:pPr>
            <w:r w:rsidRPr="00A07B28">
              <w:rPr>
                <w:rFonts w:asciiTheme="minorHAnsi" w:hAnsiTheme="minorHAnsi"/>
                <w:color w:val="000000"/>
              </w:rPr>
              <w:t>За събиране на битовите отпадъци и транспортирането им до депата, или други инсталации и съоръжения за обезвреждането им.</w:t>
            </w:r>
          </w:p>
        </w:tc>
        <w:tc>
          <w:tcPr>
            <w:tcW w:w="1027"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47</w:t>
            </w:r>
          </w:p>
        </w:tc>
        <w:tc>
          <w:tcPr>
            <w:tcW w:w="1036"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58</w:t>
            </w:r>
          </w:p>
        </w:tc>
        <w:tc>
          <w:tcPr>
            <w:tcW w:w="989" w:type="dxa"/>
          </w:tcPr>
          <w:p w:rsidR="00A07B28" w:rsidRPr="00A07B28" w:rsidRDefault="00A07B28" w:rsidP="00396E9B">
            <w:pPr>
              <w:rPr>
                <w:rFonts w:asciiTheme="minorHAnsi" w:hAnsiTheme="minorHAnsi"/>
              </w:rPr>
            </w:pPr>
            <w:r w:rsidRPr="00A07B28">
              <w:rPr>
                <w:rFonts w:asciiTheme="minorHAnsi" w:hAnsiTheme="minorHAnsi"/>
                <w:color w:val="000000"/>
              </w:rPr>
              <w:t>Липсват данни</w:t>
            </w:r>
          </w:p>
        </w:tc>
        <w:tc>
          <w:tcPr>
            <w:tcW w:w="1036"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69</w:t>
            </w:r>
          </w:p>
        </w:tc>
      </w:tr>
      <w:tr w:rsidR="00A07B28" w:rsidRPr="00A07B28" w:rsidTr="00396E9B">
        <w:trPr>
          <w:trHeight w:val="707"/>
          <w:jc w:val="center"/>
        </w:trPr>
        <w:tc>
          <w:tcPr>
            <w:tcW w:w="3719" w:type="dxa"/>
            <w:vAlign w:val="center"/>
          </w:tcPr>
          <w:p w:rsidR="00A07B28" w:rsidRPr="00A07B28" w:rsidRDefault="00A07B28" w:rsidP="00396E9B">
            <w:pPr>
              <w:spacing w:after="0"/>
              <w:jc w:val="both"/>
              <w:rPr>
                <w:rFonts w:asciiTheme="minorHAnsi" w:hAnsiTheme="minorHAnsi"/>
                <w:color w:val="000000"/>
              </w:rPr>
            </w:pPr>
            <w:r w:rsidRPr="00A07B28">
              <w:rPr>
                <w:rFonts w:asciiTheme="minorHAnsi" w:hAnsiTheme="minorHAnsi"/>
                <w:color w:val="000000"/>
              </w:rPr>
              <w:t>За проучване, проектиране, изграждане, поддържане, експлоатация, закриване и мониторинг на депа за битови отпадъци, или други инсталации и съоръжения за обезвреждане на битови отпадъци.</w:t>
            </w:r>
          </w:p>
        </w:tc>
        <w:tc>
          <w:tcPr>
            <w:tcW w:w="1027"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8</w:t>
            </w:r>
          </w:p>
        </w:tc>
        <w:tc>
          <w:tcPr>
            <w:tcW w:w="1036"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5</w:t>
            </w:r>
          </w:p>
        </w:tc>
        <w:tc>
          <w:tcPr>
            <w:tcW w:w="989" w:type="dxa"/>
          </w:tcPr>
          <w:p w:rsidR="00A07B28" w:rsidRPr="00A07B28" w:rsidRDefault="00A07B28" w:rsidP="00396E9B">
            <w:pPr>
              <w:rPr>
                <w:rFonts w:asciiTheme="minorHAnsi" w:hAnsiTheme="minorHAnsi"/>
              </w:rPr>
            </w:pPr>
            <w:r w:rsidRPr="00A07B28">
              <w:rPr>
                <w:rFonts w:asciiTheme="minorHAnsi" w:hAnsiTheme="minorHAnsi"/>
                <w:color w:val="000000"/>
              </w:rPr>
              <w:t>Липсват данни</w:t>
            </w:r>
          </w:p>
        </w:tc>
        <w:tc>
          <w:tcPr>
            <w:tcW w:w="1036"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71</w:t>
            </w:r>
          </w:p>
        </w:tc>
      </w:tr>
      <w:tr w:rsidR="00A07B28" w:rsidRPr="00A07B28" w:rsidTr="00396E9B">
        <w:trPr>
          <w:trHeight w:val="707"/>
          <w:jc w:val="center"/>
        </w:trPr>
        <w:tc>
          <w:tcPr>
            <w:tcW w:w="3719" w:type="dxa"/>
            <w:vAlign w:val="center"/>
          </w:tcPr>
          <w:p w:rsidR="00A07B28" w:rsidRPr="00A07B28" w:rsidRDefault="00A07B28" w:rsidP="00396E9B">
            <w:pPr>
              <w:spacing w:after="0"/>
              <w:jc w:val="both"/>
              <w:rPr>
                <w:rFonts w:asciiTheme="minorHAnsi" w:hAnsiTheme="minorHAnsi"/>
                <w:color w:val="000000"/>
              </w:rPr>
            </w:pPr>
            <w:r w:rsidRPr="00A07B28">
              <w:rPr>
                <w:rFonts w:asciiTheme="minorHAnsi" w:hAnsiTheme="minorHAnsi"/>
                <w:color w:val="000000"/>
              </w:rPr>
              <w:t>За почистване на уличните платна, площадите, алеите, парковите и другите територии за обществено ползване.</w:t>
            </w:r>
          </w:p>
        </w:tc>
        <w:tc>
          <w:tcPr>
            <w:tcW w:w="1027"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15</w:t>
            </w:r>
          </w:p>
        </w:tc>
        <w:tc>
          <w:tcPr>
            <w:tcW w:w="1036"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18</w:t>
            </w:r>
          </w:p>
        </w:tc>
        <w:tc>
          <w:tcPr>
            <w:tcW w:w="989" w:type="dxa"/>
          </w:tcPr>
          <w:p w:rsidR="00A07B28" w:rsidRPr="00A07B28" w:rsidRDefault="00A07B28" w:rsidP="00396E9B">
            <w:pPr>
              <w:rPr>
                <w:rFonts w:asciiTheme="minorHAnsi" w:hAnsiTheme="minorHAnsi"/>
              </w:rPr>
            </w:pPr>
            <w:r w:rsidRPr="00A07B28">
              <w:rPr>
                <w:rFonts w:asciiTheme="minorHAnsi" w:hAnsiTheme="minorHAnsi"/>
                <w:color w:val="000000"/>
              </w:rPr>
              <w:t>Липсват данни</w:t>
            </w:r>
          </w:p>
        </w:tc>
        <w:tc>
          <w:tcPr>
            <w:tcW w:w="1036" w:type="dxa"/>
            <w:vAlign w:val="center"/>
          </w:tcPr>
          <w:p w:rsidR="00A07B28" w:rsidRPr="00A07B28" w:rsidRDefault="00A07B28" w:rsidP="00396E9B">
            <w:pPr>
              <w:jc w:val="center"/>
              <w:rPr>
                <w:rFonts w:asciiTheme="minorHAnsi" w:hAnsiTheme="minorHAnsi"/>
                <w:color w:val="000000"/>
              </w:rPr>
            </w:pPr>
            <w:r w:rsidRPr="00A07B28">
              <w:rPr>
                <w:rFonts w:asciiTheme="minorHAnsi" w:hAnsiTheme="minorHAnsi"/>
                <w:color w:val="000000"/>
              </w:rPr>
              <w:t>34</w:t>
            </w:r>
          </w:p>
        </w:tc>
      </w:tr>
    </w:tbl>
    <w:p w:rsidR="00A07B28" w:rsidRPr="00570FD1" w:rsidRDefault="00A07B28" w:rsidP="00A07B28">
      <w:pPr>
        <w:pStyle w:val="a6"/>
        <w:spacing w:line="276" w:lineRule="auto"/>
        <w:ind w:firstLine="720"/>
        <w:jc w:val="center"/>
        <w:rPr>
          <w:rFonts w:asciiTheme="minorHAnsi" w:hAnsiTheme="minorHAnsi"/>
          <w:b w:val="0"/>
          <w:color w:val="000000"/>
          <w:sz w:val="22"/>
          <w:szCs w:val="22"/>
        </w:rPr>
      </w:pPr>
      <w:r w:rsidRPr="00570FD1">
        <w:rPr>
          <w:rFonts w:asciiTheme="minorHAnsi" w:hAnsiTheme="minorHAnsi"/>
          <w:b w:val="0"/>
          <w:bCs w:val="0"/>
          <w:i/>
          <w:sz w:val="22"/>
          <w:szCs w:val="22"/>
        </w:rPr>
        <w:t>Източник: Община РИЛА</w:t>
      </w:r>
    </w:p>
    <w:p w:rsidR="00A07B28" w:rsidRPr="00570FD1" w:rsidRDefault="00A07B28" w:rsidP="00A07B28">
      <w:pPr>
        <w:pStyle w:val="a6"/>
        <w:spacing w:line="276" w:lineRule="auto"/>
        <w:ind w:firstLine="720"/>
        <w:rPr>
          <w:rFonts w:asciiTheme="minorHAnsi" w:hAnsiTheme="minorHAnsi"/>
          <w:b w:val="0"/>
          <w:sz w:val="22"/>
          <w:szCs w:val="22"/>
        </w:rPr>
      </w:pPr>
      <w:r w:rsidRPr="00570FD1">
        <w:rPr>
          <w:rFonts w:asciiTheme="minorHAnsi" w:hAnsiTheme="minorHAnsi"/>
          <w:b w:val="0"/>
          <w:sz w:val="22"/>
          <w:szCs w:val="22"/>
        </w:rPr>
        <w:t xml:space="preserve"> За управлението на отпадъците през 2019 г. са изразходвани 409 хил. лева, от които 69 хил. лева за събиране, транспортиране, депониране и обезвреждане на битовите отпадъци.</w:t>
      </w:r>
    </w:p>
    <w:p w:rsidR="00A07B28" w:rsidRPr="00A07B28" w:rsidRDefault="00A07B28" w:rsidP="00A07B28">
      <w:pPr>
        <w:pStyle w:val="a6"/>
        <w:spacing w:line="276" w:lineRule="auto"/>
        <w:ind w:firstLine="720"/>
        <w:rPr>
          <w:rFonts w:asciiTheme="minorHAnsi" w:hAnsiTheme="minorHAnsi"/>
          <w:b w:val="0"/>
          <w:sz w:val="22"/>
          <w:szCs w:val="22"/>
        </w:rPr>
      </w:pPr>
      <w:r w:rsidRPr="00570FD1">
        <w:rPr>
          <w:rFonts w:asciiTheme="minorHAnsi" w:hAnsiTheme="minorHAnsi"/>
          <w:b w:val="0"/>
          <w:sz w:val="22"/>
          <w:szCs w:val="22"/>
        </w:rPr>
        <w:t xml:space="preserve">Анализът на данните показва, че през последните години приходите от такса „Битови отпадъци” (ТБО) не покрива изцяло разходите за управление на битовите отпадъци и се налага Община РИЛА ежегодно да </w:t>
      </w:r>
      <w:proofErr w:type="spellStart"/>
      <w:r w:rsidRPr="00570FD1">
        <w:rPr>
          <w:rFonts w:asciiTheme="minorHAnsi" w:hAnsiTheme="minorHAnsi"/>
          <w:b w:val="0"/>
          <w:sz w:val="22"/>
          <w:szCs w:val="22"/>
        </w:rPr>
        <w:t>дофинансира</w:t>
      </w:r>
      <w:proofErr w:type="spellEnd"/>
      <w:r w:rsidRPr="00570FD1">
        <w:rPr>
          <w:rFonts w:asciiTheme="minorHAnsi" w:hAnsiTheme="minorHAnsi"/>
          <w:b w:val="0"/>
          <w:sz w:val="22"/>
          <w:szCs w:val="22"/>
        </w:rPr>
        <w:t xml:space="preserve"> тези дейности от други приходи.</w:t>
      </w:r>
      <w:bookmarkStart w:id="0" w:name="_GoBack"/>
      <w:bookmarkEnd w:id="0"/>
    </w:p>
    <w:p w:rsidR="00A07B28" w:rsidRPr="00A07B28" w:rsidRDefault="00A07B28" w:rsidP="00A07B28">
      <w:pPr>
        <w:autoSpaceDE w:val="0"/>
        <w:autoSpaceDN w:val="0"/>
        <w:adjustRightInd w:val="0"/>
        <w:spacing w:after="0"/>
        <w:ind w:firstLine="708"/>
        <w:jc w:val="both"/>
        <w:rPr>
          <w:rFonts w:asciiTheme="minorHAnsi" w:hAnsiTheme="minorHAnsi"/>
          <w:lang w:eastAsia="en-GB"/>
        </w:rPr>
      </w:pPr>
    </w:p>
    <w:p w:rsidR="00A07B28" w:rsidRPr="00A07B28" w:rsidRDefault="00A07B28" w:rsidP="00A07B28">
      <w:pPr>
        <w:autoSpaceDE w:val="0"/>
        <w:autoSpaceDN w:val="0"/>
        <w:adjustRightInd w:val="0"/>
        <w:spacing w:after="0"/>
        <w:ind w:firstLine="708"/>
        <w:jc w:val="both"/>
        <w:rPr>
          <w:rFonts w:asciiTheme="minorHAnsi" w:hAnsiTheme="minorHAnsi"/>
          <w:lang w:eastAsia="en-GB"/>
        </w:rPr>
      </w:pPr>
    </w:p>
    <w:p w:rsidR="00A07B28" w:rsidRPr="00A07B28" w:rsidRDefault="00A07B28" w:rsidP="00A07B28">
      <w:pPr>
        <w:autoSpaceDE w:val="0"/>
        <w:autoSpaceDN w:val="0"/>
        <w:adjustRightInd w:val="0"/>
        <w:spacing w:after="0"/>
        <w:ind w:firstLine="708"/>
        <w:jc w:val="both"/>
        <w:rPr>
          <w:rFonts w:asciiTheme="minorHAnsi" w:hAnsiTheme="minorHAnsi"/>
          <w:lang w:eastAsia="en-GB"/>
        </w:rPr>
      </w:pPr>
    </w:p>
    <w:p w:rsidR="00A07B28" w:rsidRPr="00A07B28" w:rsidRDefault="00A07B28" w:rsidP="00A07B28">
      <w:pPr>
        <w:autoSpaceDE w:val="0"/>
        <w:autoSpaceDN w:val="0"/>
        <w:adjustRightInd w:val="0"/>
        <w:spacing w:after="0"/>
        <w:rPr>
          <w:rFonts w:asciiTheme="minorHAnsi" w:hAnsiTheme="minorHAnsi"/>
          <w:b/>
          <w:bCs/>
        </w:rPr>
      </w:pPr>
      <w:r>
        <w:rPr>
          <w:rFonts w:asciiTheme="minorHAnsi" w:hAnsiTheme="minorHAnsi"/>
          <w:b/>
          <w:bCs/>
          <w:u w:val="single"/>
        </w:rPr>
        <w:t>ИЗВОД:</w:t>
      </w:r>
      <w:r w:rsidRPr="00A07B28">
        <w:rPr>
          <w:rFonts w:asciiTheme="minorHAnsi" w:hAnsiTheme="minorHAnsi"/>
          <w:b/>
          <w:bCs/>
          <w:u w:val="single"/>
        </w:rPr>
        <w:t xml:space="preserve"> </w:t>
      </w:r>
    </w:p>
    <w:p w:rsidR="00A07B28" w:rsidRPr="00A07B28" w:rsidRDefault="00A07B28" w:rsidP="00A07B28">
      <w:pPr>
        <w:autoSpaceDE w:val="0"/>
        <w:autoSpaceDN w:val="0"/>
        <w:adjustRightInd w:val="0"/>
        <w:spacing w:after="0"/>
        <w:ind w:firstLine="708"/>
        <w:jc w:val="both"/>
        <w:rPr>
          <w:rFonts w:asciiTheme="minorHAnsi" w:hAnsiTheme="minorHAnsi"/>
          <w:lang w:eastAsia="en-GB"/>
        </w:rPr>
      </w:pPr>
    </w:p>
    <w:p w:rsidR="00A07B28" w:rsidRPr="00A07B28" w:rsidRDefault="00A07B28" w:rsidP="00A07B28">
      <w:pPr>
        <w:numPr>
          <w:ilvl w:val="0"/>
          <w:numId w:val="1"/>
        </w:numPr>
        <w:spacing w:after="0"/>
        <w:jc w:val="both"/>
        <w:rPr>
          <w:rFonts w:asciiTheme="minorHAnsi" w:hAnsiTheme="minorHAnsi"/>
          <w:b/>
        </w:rPr>
      </w:pPr>
      <w:r w:rsidRPr="00A07B28">
        <w:rPr>
          <w:rFonts w:asciiTheme="minorHAnsi" w:hAnsiTheme="minorHAnsi"/>
          <w:b/>
        </w:rPr>
        <w:t xml:space="preserve">В общината има добре изградени схеми за управление на различните потоци отпадъци. Въпреки това, анализът на данните показва, че приходите от такса „Битови отпадъци” в Община РИЛА са средногодишно с около 10 % по-малко от разходите за управлението им. </w:t>
      </w:r>
      <w:r>
        <w:rPr>
          <w:rFonts w:asciiTheme="minorHAnsi" w:hAnsiTheme="minorHAnsi"/>
          <w:b/>
        </w:rPr>
        <w:t>Трябва да се търсят други източници на финансиране – общински бюджет и външни такива.</w:t>
      </w:r>
    </w:p>
    <w:p w:rsidR="00AD7784" w:rsidRPr="00A07B28" w:rsidRDefault="00AD7784">
      <w:pPr>
        <w:rPr>
          <w:rFonts w:asciiTheme="minorHAnsi" w:hAnsiTheme="minorHAnsi"/>
        </w:rPr>
      </w:pPr>
    </w:p>
    <w:sectPr w:rsidR="00AD7784" w:rsidRPr="00A07B2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AEE" w:rsidRDefault="00263AEE" w:rsidP="004F78C9">
      <w:pPr>
        <w:spacing w:after="0" w:line="240" w:lineRule="auto"/>
      </w:pPr>
      <w:r>
        <w:separator/>
      </w:r>
    </w:p>
  </w:endnote>
  <w:endnote w:type="continuationSeparator" w:id="0">
    <w:p w:rsidR="00263AEE" w:rsidRDefault="00263AEE" w:rsidP="004F7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8C9" w:rsidRDefault="004F78C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2991501"/>
      <w:docPartObj>
        <w:docPartGallery w:val="Page Numbers (Bottom of Page)"/>
        <w:docPartUnique/>
      </w:docPartObj>
    </w:sdtPr>
    <w:sdtEndPr/>
    <w:sdtContent>
      <w:p w:rsidR="004F78C9" w:rsidRDefault="004F78C9">
        <w:pPr>
          <w:pStyle w:val="af0"/>
          <w:jc w:val="right"/>
        </w:pPr>
        <w:r>
          <w:fldChar w:fldCharType="begin"/>
        </w:r>
        <w:r>
          <w:instrText>PAGE   \* MERGEFORMAT</w:instrText>
        </w:r>
        <w:r>
          <w:fldChar w:fldCharType="separate"/>
        </w:r>
        <w:r w:rsidR="00570FD1">
          <w:rPr>
            <w:noProof/>
          </w:rPr>
          <w:t>2</w:t>
        </w:r>
        <w:r>
          <w:fldChar w:fldCharType="end"/>
        </w:r>
      </w:p>
    </w:sdtContent>
  </w:sdt>
  <w:p w:rsidR="004F78C9" w:rsidRDefault="004F78C9">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8C9" w:rsidRDefault="004F78C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AEE" w:rsidRDefault="00263AEE" w:rsidP="004F78C9">
      <w:pPr>
        <w:spacing w:after="0" w:line="240" w:lineRule="auto"/>
      </w:pPr>
      <w:r>
        <w:separator/>
      </w:r>
    </w:p>
  </w:footnote>
  <w:footnote w:type="continuationSeparator" w:id="0">
    <w:p w:rsidR="00263AEE" w:rsidRDefault="00263AEE" w:rsidP="004F78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8C9" w:rsidRDefault="004F78C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8C9" w:rsidRDefault="004F78C9">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8C9" w:rsidRDefault="004F78C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A7B5F"/>
    <w:multiLevelType w:val="hybridMultilevel"/>
    <w:tmpl w:val="811695B2"/>
    <w:lvl w:ilvl="0" w:tplc="04020001">
      <w:start w:val="1"/>
      <w:numFmt w:val="bullet"/>
      <w:lvlText w:val=""/>
      <w:lvlJc w:val="left"/>
      <w:pPr>
        <w:tabs>
          <w:tab w:val="num" w:pos="720"/>
        </w:tabs>
        <w:ind w:left="720" w:hanging="360"/>
      </w:pPr>
      <w:rPr>
        <w:rFonts w:ascii="Symbol" w:hAnsi="Symbo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4AC"/>
    <w:rsid w:val="00226DD1"/>
    <w:rsid w:val="00263AEE"/>
    <w:rsid w:val="0036032D"/>
    <w:rsid w:val="004F78C9"/>
    <w:rsid w:val="00570FD1"/>
    <w:rsid w:val="007554AC"/>
    <w:rsid w:val="00A07B28"/>
    <w:rsid w:val="00AD77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4AC"/>
    <w:rPr>
      <w:rFonts w:ascii="Calibri" w:eastAsia="Times New Roman" w:hAnsi="Calibri" w:cs="Times New Roman"/>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A07B28"/>
    <w:rPr>
      <w:sz w:val="16"/>
      <w:szCs w:val="16"/>
    </w:rPr>
  </w:style>
  <w:style w:type="paragraph" w:styleId="a4">
    <w:name w:val="annotation text"/>
    <w:basedOn w:val="a"/>
    <w:link w:val="a5"/>
    <w:rsid w:val="00A07B28"/>
    <w:rPr>
      <w:sz w:val="20"/>
      <w:szCs w:val="20"/>
    </w:rPr>
  </w:style>
  <w:style w:type="character" w:customStyle="1" w:styleId="a5">
    <w:name w:val="Текст на коментар Знак"/>
    <w:basedOn w:val="a0"/>
    <w:link w:val="a4"/>
    <w:rsid w:val="00A07B28"/>
    <w:rPr>
      <w:rFonts w:ascii="Calibri" w:eastAsia="Times New Roman" w:hAnsi="Calibri" w:cs="Times New Roman"/>
      <w:sz w:val="20"/>
      <w:szCs w:val="20"/>
      <w:lang w:eastAsia="bg-BG"/>
    </w:rPr>
  </w:style>
  <w:style w:type="paragraph" w:styleId="a6">
    <w:name w:val="Body Text"/>
    <w:aliases w:val="Основной текст Знак,Main text,Body Text Char2 Char,Body Text Char1 Char Char,Body Text Char Char Char Char,TabelTekst Char Char Char Char,text Char Char Char Char,Body Text2 Char Char Char Char,TabelTekst Char1 Char Char,Normal2,Body"/>
    <w:basedOn w:val="a"/>
    <w:link w:val="a7"/>
    <w:rsid w:val="00A07B28"/>
    <w:pPr>
      <w:spacing w:after="0" w:line="240" w:lineRule="auto"/>
      <w:jc w:val="both"/>
    </w:pPr>
    <w:rPr>
      <w:rFonts w:ascii="Times New Roman" w:hAnsi="Times New Roman"/>
      <w:b/>
      <w:bCs/>
      <w:sz w:val="32"/>
      <w:szCs w:val="24"/>
    </w:rPr>
  </w:style>
  <w:style w:type="character" w:customStyle="1" w:styleId="a7">
    <w:name w:val="Основен текст Знак"/>
    <w:aliases w:val="Основной текст Знак Знак,Main text Знак,Body Text Char2 Char Знак,Body Text Char1 Char Char Знак,Body Text Char Char Char Char Знак,TabelTekst Char Char Char Char Знак,text Char Char Char Char Знак,Body Text2 Char Char Char Char Знак"/>
    <w:basedOn w:val="a0"/>
    <w:link w:val="a6"/>
    <w:rsid w:val="00A07B28"/>
    <w:rPr>
      <w:rFonts w:ascii="Times New Roman" w:eastAsia="Times New Roman" w:hAnsi="Times New Roman" w:cs="Times New Roman"/>
      <w:b/>
      <w:bCs/>
      <w:sz w:val="32"/>
      <w:szCs w:val="24"/>
      <w:lang w:eastAsia="bg-BG"/>
    </w:rPr>
  </w:style>
  <w:style w:type="paragraph" w:styleId="a8">
    <w:name w:val="Body Text Indent"/>
    <w:basedOn w:val="a"/>
    <w:link w:val="a9"/>
    <w:unhideWhenUsed/>
    <w:rsid w:val="00A07B28"/>
    <w:pPr>
      <w:spacing w:after="120"/>
      <w:ind w:left="283"/>
    </w:pPr>
  </w:style>
  <w:style w:type="character" w:customStyle="1" w:styleId="a9">
    <w:name w:val="Основен текст с отстъп Знак"/>
    <w:basedOn w:val="a0"/>
    <w:link w:val="a8"/>
    <w:rsid w:val="00A07B28"/>
    <w:rPr>
      <w:rFonts w:ascii="Calibri" w:eastAsia="Times New Roman" w:hAnsi="Calibri" w:cs="Times New Roman"/>
      <w:lang w:eastAsia="bg-BG"/>
    </w:rPr>
  </w:style>
  <w:style w:type="paragraph" w:styleId="aa">
    <w:name w:val="Title"/>
    <w:basedOn w:val="a"/>
    <w:link w:val="ab"/>
    <w:qFormat/>
    <w:rsid w:val="00A07B28"/>
    <w:pPr>
      <w:spacing w:after="0" w:line="240" w:lineRule="auto"/>
      <w:jc w:val="center"/>
    </w:pPr>
    <w:rPr>
      <w:rFonts w:ascii="Times New Roman" w:hAnsi="Times New Roman"/>
      <w:sz w:val="28"/>
      <w:szCs w:val="20"/>
      <w:lang w:eastAsia="en-US"/>
    </w:rPr>
  </w:style>
  <w:style w:type="character" w:customStyle="1" w:styleId="ab">
    <w:name w:val="Заглавие Знак"/>
    <w:basedOn w:val="a0"/>
    <w:link w:val="aa"/>
    <w:rsid w:val="00A07B28"/>
    <w:rPr>
      <w:rFonts w:ascii="Times New Roman" w:eastAsia="Times New Roman" w:hAnsi="Times New Roman" w:cs="Times New Roman"/>
      <w:sz w:val="28"/>
      <w:szCs w:val="20"/>
    </w:rPr>
  </w:style>
  <w:style w:type="paragraph" w:styleId="ac">
    <w:name w:val="Balloon Text"/>
    <w:basedOn w:val="a"/>
    <w:link w:val="ad"/>
    <w:uiPriority w:val="99"/>
    <w:semiHidden/>
    <w:unhideWhenUsed/>
    <w:rsid w:val="00A07B28"/>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A07B28"/>
    <w:rPr>
      <w:rFonts w:ascii="Tahoma" w:eastAsia="Times New Roman" w:hAnsi="Tahoma" w:cs="Tahoma"/>
      <w:sz w:val="16"/>
      <w:szCs w:val="16"/>
      <w:lang w:eastAsia="bg-BG"/>
    </w:rPr>
  </w:style>
  <w:style w:type="paragraph" w:styleId="ae">
    <w:name w:val="header"/>
    <w:basedOn w:val="a"/>
    <w:link w:val="af"/>
    <w:uiPriority w:val="99"/>
    <w:unhideWhenUsed/>
    <w:rsid w:val="004F78C9"/>
    <w:pPr>
      <w:tabs>
        <w:tab w:val="center" w:pos="4536"/>
        <w:tab w:val="right" w:pos="9072"/>
      </w:tabs>
      <w:spacing w:after="0" w:line="240" w:lineRule="auto"/>
    </w:pPr>
  </w:style>
  <w:style w:type="character" w:customStyle="1" w:styleId="af">
    <w:name w:val="Горен колонтитул Знак"/>
    <w:basedOn w:val="a0"/>
    <w:link w:val="ae"/>
    <w:uiPriority w:val="99"/>
    <w:rsid w:val="004F78C9"/>
    <w:rPr>
      <w:rFonts w:ascii="Calibri" w:eastAsia="Times New Roman" w:hAnsi="Calibri" w:cs="Times New Roman"/>
      <w:lang w:eastAsia="bg-BG"/>
    </w:rPr>
  </w:style>
  <w:style w:type="paragraph" w:styleId="af0">
    <w:name w:val="footer"/>
    <w:basedOn w:val="a"/>
    <w:link w:val="af1"/>
    <w:uiPriority w:val="99"/>
    <w:unhideWhenUsed/>
    <w:rsid w:val="004F78C9"/>
    <w:pPr>
      <w:tabs>
        <w:tab w:val="center" w:pos="4536"/>
        <w:tab w:val="right" w:pos="9072"/>
      </w:tabs>
      <w:spacing w:after="0" w:line="240" w:lineRule="auto"/>
    </w:pPr>
  </w:style>
  <w:style w:type="character" w:customStyle="1" w:styleId="af1">
    <w:name w:val="Долен колонтитул Знак"/>
    <w:basedOn w:val="a0"/>
    <w:link w:val="af0"/>
    <w:uiPriority w:val="99"/>
    <w:rsid w:val="004F78C9"/>
    <w:rPr>
      <w:rFonts w:ascii="Calibri" w:eastAsia="Times New Roman" w:hAnsi="Calibri" w:cs="Times New Roman"/>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4AC"/>
    <w:rPr>
      <w:rFonts w:ascii="Calibri" w:eastAsia="Times New Roman" w:hAnsi="Calibri" w:cs="Times New Roman"/>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A07B28"/>
    <w:rPr>
      <w:sz w:val="16"/>
      <w:szCs w:val="16"/>
    </w:rPr>
  </w:style>
  <w:style w:type="paragraph" w:styleId="a4">
    <w:name w:val="annotation text"/>
    <w:basedOn w:val="a"/>
    <w:link w:val="a5"/>
    <w:rsid w:val="00A07B28"/>
    <w:rPr>
      <w:sz w:val="20"/>
      <w:szCs w:val="20"/>
    </w:rPr>
  </w:style>
  <w:style w:type="character" w:customStyle="1" w:styleId="a5">
    <w:name w:val="Текст на коментар Знак"/>
    <w:basedOn w:val="a0"/>
    <w:link w:val="a4"/>
    <w:rsid w:val="00A07B28"/>
    <w:rPr>
      <w:rFonts w:ascii="Calibri" w:eastAsia="Times New Roman" w:hAnsi="Calibri" w:cs="Times New Roman"/>
      <w:sz w:val="20"/>
      <w:szCs w:val="20"/>
      <w:lang w:eastAsia="bg-BG"/>
    </w:rPr>
  </w:style>
  <w:style w:type="paragraph" w:styleId="a6">
    <w:name w:val="Body Text"/>
    <w:aliases w:val="Основной текст Знак,Main text,Body Text Char2 Char,Body Text Char1 Char Char,Body Text Char Char Char Char,TabelTekst Char Char Char Char,text Char Char Char Char,Body Text2 Char Char Char Char,TabelTekst Char1 Char Char,Normal2,Body"/>
    <w:basedOn w:val="a"/>
    <w:link w:val="a7"/>
    <w:rsid w:val="00A07B28"/>
    <w:pPr>
      <w:spacing w:after="0" w:line="240" w:lineRule="auto"/>
      <w:jc w:val="both"/>
    </w:pPr>
    <w:rPr>
      <w:rFonts w:ascii="Times New Roman" w:hAnsi="Times New Roman"/>
      <w:b/>
      <w:bCs/>
      <w:sz w:val="32"/>
      <w:szCs w:val="24"/>
    </w:rPr>
  </w:style>
  <w:style w:type="character" w:customStyle="1" w:styleId="a7">
    <w:name w:val="Основен текст Знак"/>
    <w:aliases w:val="Основной текст Знак Знак,Main text Знак,Body Text Char2 Char Знак,Body Text Char1 Char Char Знак,Body Text Char Char Char Char Знак,TabelTekst Char Char Char Char Знак,text Char Char Char Char Знак,Body Text2 Char Char Char Char Знак"/>
    <w:basedOn w:val="a0"/>
    <w:link w:val="a6"/>
    <w:rsid w:val="00A07B28"/>
    <w:rPr>
      <w:rFonts w:ascii="Times New Roman" w:eastAsia="Times New Roman" w:hAnsi="Times New Roman" w:cs="Times New Roman"/>
      <w:b/>
      <w:bCs/>
      <w:sz w:val="32"/>
      <w:szCs w:val="24"/>
      <w:lang w:eastAsia="bg-BG"/>
    </w:rPr>
  </w:style>
  <w:style w:type="paragraph" w:styleId="a8">
    <w:name w:val="Body Text Indent"/>
    <w:basedOn w:val="a"/>
    <w:link w:val="a9"/>
    <w:unhideWhenUsed/>
    <w:rsid w:val="00A07B28"/>
    <w:pPr>
      <w:spacing w:after="120"/>
      <w:ind w:left="283"/>
    </w:pPr>
  </w:style>
  <w:style w:type="character" w:customStyle="1" w:styleId="a9">
    <w:name w:val="Основен текст с отстъп Знак"/>
    <w:basedOn w:val="a0"/>
    <w:link w:val="a8"/>
    <w:rsid w:val="00A07B28"/>
    <w:rPr>
      <w:rFonts w:ascii="Calibri" w:eastAsia="Times New Roman" w:hAnsi="Calibri" w:cs="Times New Roman"/>
      <w:lang w:eastAsia="bg-BG"/>
    </w:rPr>
  </w:style>
  <w:style w:type="paragraph" w:styleId="aa">
    <w:name w:val="Title"/>
    <w:basedOn w:val="a"/>
    <w:link w:val="ab"/>
    <w:qFormat/>
    <w:rsid w:val="00A07B28"/>
    <w:pPr>
      <w:spacing w:after="0" w:line="240" w:lineRule="auto"/>
      <w:jc w:val="center"/>
    </w:pPr>
    <w:rPr>
      <w:rFonts w:ascii="Times New Roman" w:hAnsi="Times New Roman"/>
      <w:sz w:val="28"/>
      <w:szCs w:val="20"/>
      <w:lang w:eastAsia="en-US"/>
    </w:rPr>
  </w:style>
  <w:style w:type="character" w:customStyle="1" w:styleId="ab">
    <w:name w:val="Заглавие Знак"/>
    <w:basedOn w:val="a0"/>
    <w:link w:val="aa"/>
    <w:rsid w:val="00A07B28"/>
    <w:rPr>
      <w:rFonts w:ascii="Times New Roman" w:eastAsia="Times New Roman" w:hAnsi="Times New Roman" w:cs="Times New Roman"/>
      <w:sz w:val="28"/>
      <w:szCs w:val="20"/>
    </w:rPr>
  </w:style>
  <w:style w:type="paragraph" w:styleId="ac">
    <w:name w:val="Balloon Text"/>
    <w:basedOn w:val="a"/>
    <w:link w:val="ad"/>
    <w:uiPriority w:val="99"/>
    <w:semiHidden/>
    <w:unhideWhenUsed/>
    <w:rsid w:val="00A07B28"/>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A07B28"/>
    <w:rPr>
      <w:rFonts w:ascii="Tahoma" w:eastAsia="Times New Roman" w:hAnsi="Tahoma" w:cs="Tahoma"/>
      <w:sz w:val="16"/>
      <w:szCs w:val="16"/>
      <w:lang w:eastAsia="bg-BG"/>
    </w:rPr>
  </w:style>
  <w:style w:type="paragraph" w:styleId="ae">
    <w:name w:val="header"/>
    <w:basedOn w:val="a"/>
    <w:link w:val="af"/>
    <w:uiPriority w:val="99"/>
    <w:unhideWhenUsed/>
    <w:rsid w:val="004F78C9"/>
    <w:pPr>
      <w:tabs>
        <w:tab w:val="center" w:pos="4536"/>
        <w:tab w:val="right" w:pos="9072"/>
      </w:tabs>
      <w:spacing w:after="0" w:line="240" w:lineRule="auto"/>
    </w:pPr>
  </w:style>
  <w:style w:type="character" w:customStyle="1" w:styleId="af">
    <w:name w:val="Горен колонтитул Знак"/>
    <w:basedOn w:val="a0"/>
    <w:link w:val="ae"/>
    <w:uiPriority w:val="99"/>
    <w:rsid w:val="004F78C9"/>
    <w:rPr>
      <w:rFonts w:ascii="Calibri" w:eastAsia="Times New Roman" w:hAnsi="Calibri" w:cs="Times New Roman"/>
      <w:lang w:eastAsia="bg-BG"/>
    </w:rPr>
  </w:style>
  <w:style w:type="paragraph" w:styleId="af0">
    <w:name w:val="footer"/>
    <w:basedOn w:val="a"/>
    <w:link w:val="af1"/>
    <w:uiPriority w:val="99"/>
    <w:unhideWhenUsed/>
    <w:rsid w:val="004F78C9"/>
    <w:pPr>
      <w:tabs>
        <w:tab w:val="center" w:pos="4536"/>
        <w:tab w:val="right" w:pos="9072"/>
      </w:tabs>
      <w:spacing w:after="0" w:line="240" w:lineRule="auto"/>
    </w:pPr>
  </w:style>
  <w:style w:type="character" w:customStyle="1" w:styleId="af1">
    <w:name w:val="Долен колонтитул Знак"/>
    <w:basedOn w:val="a0"/>
    <w:link w:val="af0"/>
    <w:uiPriority w:val="99"/>
    <w:rsid w:val="004F78C9"/>
    <w:rPr>
      <w:rFonts w:ascii="Calibri" w:eastAsia="Times New Roman" w:hAnsi="Calibri" w:cs="Times New Roman"/>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svr-pc</dc:creator>
  <cp:lastModifiedBy>svr-pc</cp:lastModifiedBy>
  <cp:revision>5</cp:revision>
  <dcterms:created xsi:type="dcterms:W3CDTF">2021-12-08T10:19:00Z</dcterms:created>
  <dcterms:modified xsi:type="dcterms:W3CDTF">2022-02-17T08:29:00Z</dcterms:modified>
</cp:coreProperties>
</file>